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84BA0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McgsPro组态软件配置参考</w:t>
      </w:r>
    </w:p>
    <w:p w14:paraId="70341D11">
      <w:pPr>
        <w:jc w:val="center"/>
        <w:rPr>
          <w:rFonts w:hint="eastAsia"/>
          <w:lang w:val="en-US" w:eastAsia="zh-CN"/>
        </w:rPr>
      </w:pPr>
    </w:p>
    <w:p w14:paraId="1AFDBF63">
      <w:pPr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：以下设置仅用于调试与我司测微计，显示盒，集线器等设备通讯，基于驱动版本7.102600进行设置，其余不同之处解释权归组态软件原厂家。关于触摸屏我司无专业人员，连接变量设置，屏显示等其他项目由用户自行配置。示例为出厂默认参数配置，修改产品参数后需修改对应的配置。</w:t>
      </w:r>
    </w:p>
    <w:p w14:paraId="2CD2720E">
      <w:pPr>
        <w:rPr>
          <w:rFonts w:hint="eastAsia"/>
          <w:lang w:val="en-US" w:eastAsia="zh-CN"/>
        </w:rPr>
      </w:pPr>
    </w:p>
    <w:p w14:paraId="77B5ACEE"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128270</wp:posOffset>
            </wp:positionV>
            <wp:extent cx="2223135" cy="3918585"/>
            <wp:effectExtent l="0" t="0" r="5715" b="571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   </w:t>
      </w:r>
    </w:p>
    <w:p w14:paraId="53FFB3C6">
      <w:pPr>
        <w:ind w:firstLine="3990" w:firstLineChars="19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ModbusRTU串口关键配置</w:t>
      </w:r>
    </w:p>
    <w:p w14:paraId="7B74F4BF">
      <w:pPr>
        <w:numPr>
          <w:ilvl w:val="0"/>
          <w:numId w:val="1"/>
        </w:numPr>
        <w:ind w:left="3990" w:leftChars="190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设备地址：设置要读取写入的设备从站地址，如果从站地址为10（十六进制），那么设置为16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p w14:paraId="283F50B1">
      <w:pPr>
        <w:numPr>
          <w:ilvl w:val="0"/>
          <w:numId w:val="1"/>
        </w:numPr>
        <w:ind w:left="3990" w:leftChars="190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最小采集周期（ms）：设置要读取的间隔，如果设置为100ms，那么每秒读取10次，数据的刷新快慢由此设置决定。</w:t>
      </w:r>
    </w:p>
    <w:p w14:paraId="15746F40">
      <w:pPr>
        <w:numPr>
          <w:ilvl w:val="0"/>
          <w:numId w:val="1"/>
        </w:numPr>
        <w:ind w:left="3990" w:leftChars="190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通讯等待时间：收到下位机回复马上继续采集，如果没有收到回复，则等待设置的时间后再采集。</w:t>
      </w:r>
    </w:p>
    <w:p w14:paraId="7D36E82E">
      <w:pPr>
        <w:numPr>
          <w:ilvl w:val="0"/>
          <w:numId w:val="1"/>
        </w:numPr>
        <w:ind w:left="3990" w:leftChars="190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其余配置参照左方图片</w:t>
      </w:r>
    </w:p>
    <w:p w14:paraId="2AEC1240"/>
    <w:p w14:paraId="3FCF4B1C"/>
    <w:p w14:paraId="594B01D7"/>
    <w:p w14:paraId="04F5A74D">
      <w:pPr>
        <w:rPr>
          <w:rFonts w:hint="eastAsia"/>
          <w:lang w:val="en-US" w:eastAsia="zh-CN"/>
        </w:rPr>
      </w:pPr>
    </w:p>
    <w:p w14:paraId="111ED32F">
      <w:pPr>
        <w:rPr>
          <w:rFonts w:hint="eastAsia"/>
          <w:lang w:val="en-US" w:eastAsia="zh-CN"/>
        </w:rPr>
      </w:pPr>
    </w:p>
    <w:p w14:paraId="0002C3A4">
      <w:pPr>
        <w:rPr>
          <w:rFonts w:hint="eastAsia"/>
          <w:lang w:val="en-US" w:eastAsia="zh-CN"/>
        </w:rPr>
      </w:pPr>
    </w:p>
    <w:p w14:paraId="51B5AEF5">
      <w:pPr>
        <w:rPr>
          <w:rFonts w:hint="eastAsia"/>
          <w:lang w:val="en-US" w:eastAsia="zh-CN"/>
        </w:rPr>
      </w:pPr>
    </w:p>
    <w:p w14:paraId="03C05FF8">
      <w:pPr>
        <w:rPr>
          <w:rFonts w:hint="eastAsia"/>
          <w:lang w:val="en-US" w:eastAsia="zh-CN"/>
        </w:rPr>
      </w:pPr>
    </w:p>
    <w:p w14:paraId="73844A8E">
      <w:pPr>
        <w:rPr>
          <w:rFonts w:hint="eastAsia"/>
          <w:lang w:val="en-US" w:eastAsia="zh-CN"/>
        </w:rPr>
      </w:pPr>
    </w:p>
    <w:p w14:paraId="395A69A0">
      <w:pPr>
        <w:rPr>
          <w:rFonts w:hint="eastAsia"/>
          <w:lang w:val="en-US" w:eastAsia="zh-CN"/>
        </w:rPr>
      </w:pPr>
    </w:p>
    <w:p w14:paraId="2C2E637A">
      <w:pPr>
        <w:rPr>
          <w:rFonts w:hint="eastAsia"/>
          <w:lang w:val="en-US" w:eastAsia="zh-CN"/>
        </w:rPr>
      </w:pPr>
    </w:p>
    <w:p w14:paraId="2AC4A4E5">
      <w:pPr>
        <w:rPr>
          <w:rFonts w:hint="eastAsia"/>
          <w:lang w:val="en-US" w:eastAsia="zh-CN"/>
        </w:rPr>
      </w:pPr>
    </w:p>
    <w:p w14:paraId="6D38B13B">
      <w:pPr>
        <w:rPr>
          <w:rFonts w:hint="eastAsia"/>
          <w:lang w:val="en-US" w:eastAsia="zh-CN"/>
        </w:rPr>
      </w:pPr>
    </w:p>
    <w:p w14:paraId="1C21FBA6"/>
    <w:p w14:paraId="5F2BB884"/>
    <w:p w14:paraId="7F75F10B"/>
    <w:p w14:paraId="7353A8CA"/>
    <w:p w14:paraId="68E8F477"/>
    <w:p w14:paraId="332DC748"/>
    <w:p w14:paraId="107BE04B"/>
    <w:p w14:paraId="183252C5"/>
    <w:p w14:paraId="7081D5E1"/>
    <w:p w14:paraId="20721AA9"/>
    <w:p w14:paraId="26344E72"/>
    <w:p w14:paraId="43A8AAD6"/>
    <w:p w14:paraId="2127E4F4"/>
    <w:p w14:paraId="73FBE622"/>
    <w:p w14:paraId="42065272"/>
    <w:p w14:paraId="513A77F6"/>
    <w:p w14:paraId="604BDA78"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一、与单个测微计通讯配置</w:t>
      </w:r>
    </w:p>
    <w:p w14:paraId="1AD51DF4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116320" cy="3291205"/>
            <wp:effectExtent l="0" t="0" r="177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29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60F4D">
      <w:pPr>
        <w:rPr>
          <w:rFonts w:hint="eastAsia"/>
          <w:lang w:val="en-US" w:eastAsia="zh-CN"/>
        </w:rPr>
      </w:pPr>
    </w:p>
    <w:p w14:paraId="3AB20481">
      <w:pPr>
        <w:rPr>
          <w:rFonts w:hint="eastAsia"/>
          <w:lang w:val="en-US" w:eastAsia="zh-CN"/>
        </w:rPr>
      </w:pPr>
    </w:p>
    <w:p w14:paraId="7281CB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读取实时位移数据通道设置</w:t>
      </w:r>
    </w:p>
    <w:p w14:paraId="0305F2A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发出读取报文：01 03 00 00 00 02 C4 0B</w:t>
      </w:r>
    </w:p>
    <w:p w14:paraId="4360B390">
      <w:r>
        <w:drawing>
          <wp:inline distT="0" distB="0" distL="114300" distR="114300">
            <wp:extent cx="4948555" cy="3671570"/>
            <wp:effectExtent l="0" t="0" r="444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8555" cy="367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2A57C"/>
    <w:p w14:paraId="67961DD1"/>
    <w:p w14:paraId="1F04AA51">
      <w:pPr>
        <w:rPr>
          <w:rFonts w:hint="eastAsia"/>
          <w:lang w:val="en-US" w:eastAsia="zh-CN"/>
        </w:rPr>
      </w:pPr>
    </w:p>
    <w:p w14:paraId="24D275AA">
      <w:pPr>
        <w:rPr>
          <w:rFonts w:hint="eastAsia"/>
          <w:lang w:val="en-US" w:eastAsia="zh-CN"/>
        </w:rPr>
      </w:pPr>
    </w:p>
    <w:p w14:paraId="73B4B7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清零通道配置</w:t>
      </w:r>
    </w:p>
    <w:p w14:paraId="7842643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发出清零报文：01 06 00 00 00 00 89 CA</w:t>
      </w:r>
    </w:p>
    <w:p w14:paraId="2D535ED5">
      <w:r>
        <w:drawing>
          <wp:inline distT="0" distB="0" distL="114300" distR="114300">
            <wp:extent cx="4942840" cy="3668395"/>
            <wp:effectExtent l="0" t="0" r="1016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2840" cy="366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50934">
      <w:pPr>
        <w:rPr>
          <w:rFonts w:hint="eastAsia"/>
          <w:lang w:val="en-US" w:eastAsia="zh-CN"/>
        </w:rPr>
      </w:pPr>
    </w:p>
    <w:p w14:paraId="4DD3076F">
      <w:pPr>
        <w:rPr>
          <w:rFonts w:hint="eastAsia"/>
          <w:lang w:val="en-US" w:eastAsia="zh-CN"/>
        </w:rPr>
      </w:pPr>
    </w:p>
    <w:p w14:paraId="4CE1ADA9">
      <w:pPr>
        <w:rPr>
          <w:rFonts w:hint="eastAsia"/>
          <w:lang w:val="en-US" w:eastAsia="zh-CN"/>
        </w:rPr>
      </w:pPr>
    </w:p>
    <w:p w14:paraId="77B0F5FA">
      <w:pPr>
        <w:numPr>
          <w:ilvl w:val="0"/>
          <w:numId w:val="2"/>
        </w:num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与集线器通讯配置</w:t>
      </w:r>
    </w:p>
    <w:p w14:paraId="7989817E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185535" cy="3328035"/>
            <wp:effectExtent l="0" t="0" r="571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33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B66CF"/>
    <w:p w14:paraId="50E498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读取4路实时位移数据通道配置</w:t>
      </w:r>
    </w:p>
    <w:p w14:paraId="1EEF8DC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发出读取报文：10 03 00 00 00 08 47 4D</w:t>
      </w:r>
    </w:p>
    <w:p w14:paraId="7D416A9B">
      <w:r>
        <w:drawing>
          <wp:inline distT="0" distB="0" distL="114300" distR="114300">
            <wp:extent cx="4391025" cy="3257550"/>
            <wp:effectExtent l="0" t="0" r="952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31C49"/>
    <w:p w14:paraId="2A4FE4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全清零通道配置</w:t>
      </w:r>
    </w:p>
    <w:p w14:paraId="25D219A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发出清零报文：10 06 01 FF 00 00 BB 47</w:t>
      </w:r>
    </w:p>
    <w:p w14:paraId="375B48BC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391025" cy="3257550"/>
            <wp:effectExtent l="0" t="0" r="9525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DFA07">
      <w:pPr>
        <w:rPr>
          <w:rFonts w:hint="eastAsia"/>
          <w:lang w:val="en-US" w:eastAsia="zh-CN"/>
        </w:rPr>
      </w:pPr>
    </w:p>
    <w:p w14:paraId="4D039F3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在客户的案例中发现组态软件某些驱动版本，在读取和写入时不能设置同一个通道地址，我们附带有驱动版本7.102600安装包，安装后可以解决这个问题。客户自行选择是否安装，安装前建议保存好相关资料，如果由于安装造成的问题，由客户自行承担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CB36C6"/>
    <w:multiLevelType w:val="singleLevel"/>
    <w:tmpl w:val="C1CB36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AFCB698"/>
    <w:multiLevelType w:val="singleLevel"/>
    <w:tmpl w:val="6AFCB6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76F0B"/>
    <w:rsid w:val="1AD933D8"/>
    <w:rsid w:val="1D2B64E6"/>
    <w:rsid w:val="1E567F60"/>
    <w:rsid w:val="30A51C75"/>
    <w:rsid w:val="31682C84"/>
    <w:rsid w:val="454D39F9"/>
    <w:rsid w:val="46CB21FA"/>
    <w:rsid w:val="4B742F47"/>
    <w:rsid w:val="4BD04D8C"/>
    <w:rsid w:val="531B1357"/>
    <w:rsid w:val="5FEA6412"/>
    <w:rsid w:val="619A5937"/>
    <w:rsid w:val="7667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473</Words>
  <Characters>525</Characters>
  <Lines>0</Lines>
  <Paragraphs>0</Paragraphs>
  <TotalTime>163</TotalTime>
  <ScaleCrop>false</ScaleCrop>
  <LinksUpToDate>false</LinksUpToDate>
  <CharactersWithSpaces>577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2025-11-11T09:13:00Z</dcterms:created>
  <dc:creator>Administrator</dc:creator>
  <cp:lastModifiedBy>空白</cp:lastModifiedBy>
  <dcterms:modified xsi:type="dcterms:W3CDTF">2025-11-25T02:15:18Z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eyJoZGlkIjoiM2ViMjllOWE3ZDdkMTk2Nzk0YTE5ZDg3ODVjZGFlYmQiLCJ1c2VySWQiOiIxNjA2Mzc4Njc0In0=</vt:lpwstr>
  </property>
  <property fmtid="{D5CDD505-2E9C-101B-9397-08002B2CF9AE}" pid="4" name="ICV">
    <vt:lpwstr>D04DF4CA0EF24F51889E08ADB6BF588A_12</vt:lpwstr>
  </property>
</Properties>
</file>